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ind w:left="0" w:right="0" w:hanging="0"/>
        <w:jc w:val="both"/>
        <w:rPr>
          <w:rFonts w:ascii="Arial" w:hAnsi="Arial"/>
          <w:b/>
          <w:bCs/>
          <w:i w:val="false"/>
          <w:caps w:val="false"/>
          <w:smallCaps w:val="false"/>
          <w:color w:val="6D625B"/>
          <w:spacing w:val="0"/>
          <w:sz w:val="24"/>
          <w:szCs w:val="24"/>
        </w:rPr>
      </w:pPr>
      <w:r>
        <w:rPr>
          <w:rFonts w:ascii="Arial" w:hAnsi="Arial"/>
          <w:b/>
          <w:bCs/>
          <w:i w:val="false"/>
          <w:caps w:val="false"/>
          <w:smallCaps w:val="false"/>
          <w:color w:val="6D625B"/>
          <w:spacing w:val="0"/>
          <w:sz w:val="24"/>
          <w:szCs w:val="24"/>
        </w:rPr>
        <w:t>Nota Aclaratoria sobre Publicación de fecha 12 de Agosto de 2014</w:t>
      </w:r>
    </w:p>
    <w:p>
      <w:pPr>
        <w:pStyle w:val="Normal"/>
        <w:widowControl/>
        <w:ind w:left="0" w:right="0" w:hanging="0"/>
        <w:jc w:val="both"/>
        <w:rPr>
          <w:rFonts w:ascii="Arial" w:hAnsi="Arial"/>
          <w:b w:val="false"/>
          <w:i w:val="false"/>
          <w:caps w:val="false"/>
          <w:smallCaps w:val="false"/>
          <w:color w:val="6D625B"/>
          <w:spacing w:val="0"/>
          <w:sz w:val="24"/>
          <w:szCs w:val="24"/>
        </w:rPr>
      </w:pPr>
      <w:r>
        <w:rPr>
          <w:rFonts w:ascii="Arial" w:hAnsi="Arial"/>
          <w:b w:val="false"/>
          <w:i w:val="false"/>
          <w:caps w:val="false"/>
          <w:smallCaps w:val="false"/>
          <w:color w:val="6D625B"/>
          <w:spacing w:val="0"/>
          <w:sz w:val="24"/>
          <w:szCs w:val="24"/>
        </w:rPr>
      </w:r>
    </w:p>
    <w:p>
      <w:pPr>
        <w:pStyle w:val="Normal"/>
        <w:widowControl/>
        <w:ind w:left="0" w:right="0" w:hanging="0"/>
        <w:jc w:val="both"/>
        <w:rPr>
          <w:rFonts w:ascii="Arial" w:hAnsi="Arial"/>
          <w:b w:val="false"/>
          <w:i w:val="false"/>
          <w:caps w:val="false"/>
          <w:smallCaps w:val="false"/>
          <w:color w:val="6D625B"/>
          <w:spacing w:val="0"/>
          <w:sz w:val="24"/>
          <w:szCs w:val="24"/>
        </w:rPr>
      </w:pPr>
      <w:r>
        <w:rPr>
          <w:rFonts w:ascii="Arial" w:hAnsi="Arial"/>
          <w:b w:val="false"/>
          <w:i w:val="false"/>
          <w:caps w:val="false"/>
          <w:smallCaps w:val="false"/>
          <w:color w:val="6D625B"/>
          <w:spacing w:val="0"/>
          <w:sz w:val="24"/>
          <w:szCs w:val="24"/>
        </w:rPr>
        <w:t>Mediante publicación de fecha 12 de Agosto de 2014, se dio a conocer el estudio de verificación de requisitos para optar al Encargo en el empleo denominado Profesional Universitario Código 219 Grado 04. Debe aclararse que también se publicó el estudio de verificación de requisitos para optar al Encargo en el empleo denominado Profesional Universitario Código 219 Grado 02.</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CO"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CO"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2015-04-08T09:59:09Z</dcterms:created>
  <dc:language>es-CO</dc:language>
  <cp:revision>0</cp:revision>
</cp:coreProperties>
</file>